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500" w:type="pct"/>
        <w:jc w:val="center"/>
        <w:tblCellSpacing w:w="0" w:type="dxa"/>
        <w:tblLayout w:type="autofit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9527"/>
      </w:tblGrid>
      <w:tr w14:paraId="5427551C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2EE7366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7"/>
              </w:rPr>
              <w:t>国家环境保护总局公告</w:t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7"/>
              </w:rPr>
              <w:t xml:space="preserve"> </w:t>
            </w:r>
            <w:bookmarkStart w:id="0" w:name="_GoBack"/>
            <w:bookmarkEnd w:id="0"/>
          </w:p>
        </w:tc>
      </w:tr>
      <w:tr w14:paraId="571280AF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  <w:jc w:val="center"/>
        </w:trPr>
        <w:tc>
          <w:tcPr>
            <w:tcW w:w="0" w:type="auto"/>
            <w:vAlign w:val="center"/>
          </w:tcPr>
          <w:tbl>
            <w:tblPr>
              <w:tblStyle w:val="5"/>
              <w:tblW w:w="5000" w:type="pct"/>
              <w:tblCellSpacing w:w="0" w:type="dxa"/>
              <w:tblInd w:w="0" w:type="dxa"/>
              <w:tblLayout w:type="autofit"/>
              <w:tblCellMar>
                <w:top w:w="60" w:type="dxa"/>
                <w:left w:w="60" w:type="dxa"/>
                <w:bottom w:w="60" w:type="dxa"/>
                <w:right w:w="60" w:type="dxa"/>
              </w:tblCellMar>
            </w:tblPr>
            <w:tblGrid>
              <w:gridCol w:w="9407"/>
            </w:tblGrid>
            <w:tr w14:paraId="46B143AC">
              <w:tblPrEx>
                <w:tblCellMar>
                  <w:top w:w="60" w:type="dxa"/>
                  <w:left w:w="60" w:type="dxa"/>
                  <w:bottom w:w="60" w:type="dxa"/>
                  <w:right w:w="60" w:type="dxa"/>
                </w:tblCellMar>
              </w:tblPrEx>
              <w:trPr>
                <w:trHeight w:val="120" w:hRule="atLeast"/>
                <w:tblCellSpacing w:w="0" w:type="dxa"/>
              </w:trPr>
              <w:tc>
                <w:tcPr>
                  <w:tcW w:w="0" w:type="auto"/>
                  <w:vAlign w:val="center"/>
                </w:tcPr>
                <w:p w14:paraId="0ED9A9E0"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12"/>
                      <w:szCs w:val="24"/>
                    </w:rPr>
                  </w:pPr>
                </w:p>
              </w:tc>
            </w:tr>
            <w:tr w14:paraId="26EA09DF">
              <w:tblPrEx>
                <w:tblCellMar>
                  <w:top w:w="60" w:type="dxa"/>
                  <w:left w:w="60" w:type="dxa"/>
                  <w:bottom w:w="60" w:type="dxa"/>
                  <w:right w:w="6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14:paraId="510A872A">
                  <w:pPr>
                    <w:widowControl/>
                    <w:jc w:val="center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国家环境保护总局公告 2006年 第26号</w:t>
                  </w:r>
                </w:p>
              </w:tc>
            </w:tr>
            <w:tr w14:paraId="667AC3D5">
              <w:tblPrEx>
                <w:tblCellMar>
                  <w:top w:w="60" w:type="dxa"/>
                  <w:left w:w="60" w:type="dxa"/>
                  <w:bottom w:w="60" w:type="dxa"/>
                  <w:right w:w="60" w:type="dxa"/>
                </w:tblCellMar>
              </w:tblPrEx>
              <w:trPr>
                <w:trHeight w:val="225" w:hRule="atLeast"/>
                <w:tblCellSpacing w:w="0" w:type="dxa"/>
              </w:trPr>
              <w:tc>
                <w:tcPr>
                  <w:tcW w:w="0" w:type="auto"/>
                  <w:vAlign w:val="center"/>
                </w:tcPr>
                <w:tbl>
                  <w:tblPr>
                    <w:tblStyle w:val="5"/>
                    <w:tblW w:w="5000" w:type="pct"/>
                    <w:jc w:val="center"/>
                    <w:tblCellSpacing w:w="0" w:type="dxa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9287"/>
                  </w:tblGrid>
                  <w:tr w14:paraId="65776461">
                    <w:trPr>
                      <w:trHeight w:val="45" w:hRule="atLeast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14:paraId="0B6D7F4D">
                        <w:pPr>
                          <w:widowControl/>
                          <w:jc w:val="left"/>
                          <w:rPr>
                            <w:rFonts w:ascii="宋体" w:hAnsi="宋体" w:eastAsia="宋体" w:cs="宋体"/>
                            <w:kern w:val="0"/>
                            <w:sz w:val="4"/>
                            <w:szCs w:val="24"/>
                          </w:rPr>
                        </w:pPr>
                      </w:p>
                    </w:tc>
                  </w:tr>
                  <w:tr w14:paraId="12C9C575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0" w:hRule="atLeast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center"/>
                      </w:tcPr>
                      <w:p w14:paraId="5DC5DD68">
                        <w:pPr>
                          <w:widowControl/>
                          <w:jc w:val="left"/>
                          <w:rPr>
                            <w:rFonts w:ascii="宋体" w:hAnsi="宋体" w:eastAsia="宋体" w:cs="宋体"/>
                            <w:kern w:val="0"/>
                            <w:sz w:val="4"/>
                            <w:szCs w:val="24"/>
                          </w:rPr>
                        </w:pPr>
                      </w:p>
                    </w:tc>
                  </w:tr>
                  <w:tr w14:paraId="5BE75F5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5" w:hRule="atLeast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14:paraId="017A8702">
                        <w:pPr>
                          <w:widowControl/>
                          <w:jc w:val="left"/>
                          <w:rPr>
                            <w:rFonts w:ascii="宋体" w:hAnsi="宋体" w:eastAsia="宋体" w:cs="宋体"/>
                            <w:kern w:val="0"/>
                            <w:sz w:val="4"/>
                            <w:szCs w:val="24"/>
                          </w:rPr>
                        </w:pPr>
                      </w:p>
                    </w:tc>
                  </w:tr>
                </w:tbl>
                <w:p w14:paraId="73E1E42B">
                  <w:pPr>
                    <w:widowControl/>
                    <w:spacing w:line="225" w:lineRule="atLeast"/>
                    <w:jc w:val="center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14:paraId="0A788488">
              <w:tblPrEx>
                <w:tblCellMar>
                  <w:top w:w="60" w:type="dxa"/>
                  <w:left w:w="60" w:type="dxa"/>
                  <w:bottom w:w="60" w:type="dxa"/>
                  <w:right w:w="60" w:type="dxa"/>
                </w:tblCellMar>
              </w:tblPrEx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14:paraId="593518C6">
                  <w:pPr>
                    <w:widowControl/>
                    <w:jc w:val="center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关于发布射线装置分类办法的公告</w:t>
                  </w:r>
                </w:p>
              </w:tc>
            </w:tr>
            <w:tr w14:paraId="2CF973FC">
              <w:tblPrEx>
                <w:tblCellMar>
                  <w:top w:w="60" w:type="dxa"/>
                  <w:left w:w="60" w:type="dxa"/>
                  <w:bottom w:w="60" w:type="dxa"/>
                  <w:right w:w="60" w:type="dxa"/>
                </w:tblCellMar>
              </w:tblPrEx>
              <w:trPr>
                <w:trHeight w:val="5400" w:hRule="atLeast"/>
                <w:tblCellSpacing w:w="0" w:type="dxa"/>
              </w:trPr>
              <w:tc>
                <w:tcPr>
                  <w:tcW w:w="0" w:type="auto"/>
                </w:tcPr>
                <w:p w14:paraId="5280C242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 xml:space="preserve">　　根据《放射性同位素与射线装置安全和防护条例》（国务院令第449号）关于射线装置实行分类管理的规定，国家环境保护总局和卫生部组织制定了《射线装置分类办法》，现予发布。 </w:t>
                  </w:r>
                </w:p>
                <w:p w14:paraId="3459C925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>　　(此公告业经卫生部陈啸宏会签)</w:t>
                  </w:r>
                </w:p>
                <w:p w14:paraId="28551F31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>　　附件：射线装置分类办法</w:t>
                  </w:r>
                </w:p>
                <w:p w14:paraId="5D379828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 xml:space="preserve">　　 </w:t>
                  </w:r>
                </w:p>
                <w:p w14:paraId="000637C2">
                  <w:pPr>
                    <w:widowControl/>
                    <w:adjustRightInd w:val="0"/>
                    <w:snapToGrid w:val="0"/>
                    <w:spacing w:line="360" w:lineRule="auto"/>
                    <w:jc w:val="righ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>　　二○○六年五月三十日</w:t>
                  </w:r>
                </w:p>
                <w:p w14:paraId="7FD1CC19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 xml:space="preserve">　　 </w:t>
                  </w:r>
                </w:p>
                <w:p w14:paraId="404F6FD4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 xml:space="preserve">　　主题词: 环保 辐射 射线装置 分类 公告 </w:t>
                  </w:r>
                </w:p>
                <w:p w14:paraId="79D230AD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 xml:space="preserve">　　发   送：教育部，科技部，国防科工委，公安部，铁道部，交通部，信息产业部，农业部，商务部，卫生部，海关总署，质检总局，民航总局，中国科学院，国家邮政局，各省、自治区、直辖市环境保护局（厅），中国核工业集团公司，中国广东核电集团有限公司，中国原子能科学研究院，中国工程物理研究院，中国核动力研究设计院，中核集团四○四厂，中国同位素公司，中国原子能工业公司，中核甘肃华原企业总公司，北京原子高科核技术应用股份有限公司，中核高通同位素股份有限公司，中国同位素与辐射行业协会 </w:t>
                  </w:r>
                </w:p>
                <w:p w14:paraId="50364E30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>　</w:t>
                  </w:r>
                </w:p>
                <w:p w14:paraId="26430D14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14:paraId="378D21FA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14:paraId="018C33E8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14:paraId="286D3CD1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14:paraId="13D2B34C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14:paraId="60799E6B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14:paraId="469D94A8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14:paraId="30773C3C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14:paraId="2F68493D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14:paraId="6CAE74A2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14:paraId="79072274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14:paraId="4DA8B730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14:paraId="1E839B13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14:paraId="72C1B5C1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14:paraId="04AA2081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  <w:p w14:paraId="77F89245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>　</w:t>
                  </w:r>
                  <w:r>
                    <w:rPr>
                      <w:rFonts w:ascii="ˎ̥" w:hAnsi="ˎ̥" w:eastAsia="宋体" w:cs="宋体"/>
                      <w:b/>
                      <w:bCs/>
                      <w:color w:val="000000"/>
                      <w:kern w:val="0"/>
                      <w:sz w:val="23"/>
                    </w:rPr>
                    <w:t>附件：</w:t>
                  </w:r>
                </w:p>
                <w:p w14:paraId="61030032">
                  <w:pPr>
                    <w:widowControl/>
                    <w:adjustRightInd w:val="0"/>
                    <w:snapToGrid w:val="0"/>
                    <w:spacing w:line="360" w:lineRule="auto"/>
                    <w:jc w:val="center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b/>
                      <w:bCs/>
                      <w:color w:val="000000"/>
                      <w:kern w:val="0"/>
                      <w:sz w:val="23"/>
                    </w:rPr>
                    <w:t>　　射线装置分类办法</w:t>
                  </w:r>
                </w:p>
                <w:p w14:paraId="177D92BF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 xml:space="preserve">　　根据《放射性同位素与射线装置安全和防护条例》（国务院令第449号）规定，制定本射线装置分类办法。 </w:t>
                  </w:r>
                </w:p>
                <w:p w14:paraId="7E9B0D65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 xml:space="preserve">　　一、射线装置分类原则 </w:t>
                  </w:r>
                </w:p>
                <w:p w14:paraId="6BFAC739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>　　根据射线装置对人体健康和环境可能造成危害的程度，从高到低将射线装置分为</w:t>
                  </w: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23"/>
                      <w:szCs w:val="23"/>
                    </w:rPr>
                    <w:t>Ⅰ</w:t>
                  </w: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>类、</w:t>
                  </w: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23"/>
                      <w:szCs w:val="23"/>
                    </w:rPr>
                    <w:t>Ⅱ</w:t>
                  </w: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>类、</w:t>
                  </w: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23"/>
                      <w:szCs w:val="23"/>
                    </w:rPr>
                    <w:t>Ⅲ</w:t>
                  </w: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 xml:space="preserve">类。按照使用用途分医用射线装置和非医用射线装置。 </w:t>
                  </w:r>
                </w:p>
                <w:p w14:paraId="5BA3C44B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>　　（一）</w:t>
                  </w: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23"/>
                      <w:szCs w:val="23"/>
                    </w:rPr>
                    <w:t>Ⅰ</w:t>
                  </w: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 xml:space="preserve">类为高危险射线装置，事故时可以使短时间受照射人员产生严重放射损伤，甚至死亡,或对环境造成严重影响； </w:t>
                  </w:r>
                </w:p>
                <w:p w14:paraId="5F90C4FE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>　　（二）</w:t>
                  </w: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23"/>
                      <w:szCs w:val="23"/>
                    </w:rPr>
                    <w:t>Ⅱ</w:t>
                  </w: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 xml:space="preserve">类为中危险射线装置，事故时可以使受照人员产生较严重放射损伤，大剂量照射甚至导致死亡； </w:t>
                  </w:r>
                </w:p>
                <w:p w14:paraId="55F2F224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>　　（三）</w:t>
                  </w:r>
                  <w:r>
                    <w:rPr>
                      <w:rFonts w:ascii="宋体" w:hAnsi="宋体" w:eastAsia="宋体" w:cs="宋体"/>
                      <w:color w:val="000000"/>
                      <w:kern w:val="0"/>
                      <w:sz w:val="23"/>
                      <w:szCs w:val="23"/>
                    </w:rPr>
                    <w:t>Ⅲ</w:t>
                  </w: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 xml:space="preserve">类为低危险射线装置，事故时一般不会造成受照人员的放射损伤。 </w:t>
                  </w:r>
                </w:p>
                <w:p w14:paraId="43D5BEF7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 xml:space="preserve">　　二、射线装置分类表 </w:t>
                  </w:r>
                </w:p>
                <w:p w14:paraId="34FB5EF4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  <w:t>　　常用的射线装置按下列表进行分类。</w:t>
                  </w:r>
                </w:p>
                <w:p w14:paraId="2B6580CB">
                  <w:pPr>
                    <w:widowControl/>
                    <w:adjustRightInd w:val="0"/>
                    <w:snapToGrid w:val="0"/>
                    <w:spacing w:line="360" w:lineRule="auto"/>
                    <w:jc w:val="center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  <w:r>
                    <w:rPr>
                      <w:rFonts w:ascii="ˎ̥" w:hAnsi="ˎ̥" w:eastAsia="宋体" w:cs="宋体"/>
                      <w:b/>
                      <w:bCs/>
                      <w:color w:val="000000"/>
                      <w:kern w:val="0"/>
                      <w:sz w:val="23"/>
                    </w:rPr>
                    <w:t>射 线 装 置 分 类 表</w:t>
                  </w:r>
                </w:p>
                <w:tbl>
                  <w:tblPr>
                    <w:tblStyle w:val="5"/>
                    <w:tblW w:w="5000" w:type="pct"/>
                    <w:jc w:val="center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06"/>
                    <w:gridCol w:w="3891"/>
                    <w:gridCol w:w="4090"/>
                  </w:tblGrid>
                  <w:tr w14:paraId="76F62EC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  <w:jc w:val="center"/>
                    </w:trPr>
                    <w:tc>
                      <w:tcPr>
                        <w:tcW w:w="703" w:type="pct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53ADA40C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center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装置类别</w:t>
                        </w:r>
                      </w:p>
                    </w:tc>
                    <w:tc>
                      <w:tcPr>
                        <w:tcW w:w="2095" w:type="pct"/>
                        <w:tcBorders>
                          <w:top w:val="single" w:color="auto" w:sz="4" w:space="0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24324F45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center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医用射线装置</w:t>
                        </w:r>
                      </w:p>
                    </w:tc>
                    <w:tc>
                      <w:tcPr>
                        <w:tcW w:w="2202" w:type="pct"/>
                        <w:tcBorders>
                          <w:top w:val="single" w:color="auto" w:sz="4" w:space="0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02E9D889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center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非医用射线装置</w:t>
                        </w:r>
                      </w:p>
                    </w:tc>
                  </w:tr>
                  <w:tr w14:paraId="6F78D2E1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55" w:hRule="atLeast"/>
                      <w:jc w:val="center"/>
                    </w:trPr>
                    <w:tc>
                      <w:tcPr>
                        <w:tcW w:w="703" w:type="pct"/>
                        <w:vMerge w:val="restart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17BF5E3A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Ⅰ射线装置</w:t>
                        </w:r>
                      </w:p>
                    </w:tc>
                    <w:tc>
                      <w:tcPr>
                        <w:tcW w:w="2095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1E03A3D7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能量大于100兆电子伏的</w:t>
                        </w:r>
                      </w:p>
                    </w:tc>
                    <w:tc>
                      <w:tcPr>
                        <w:tcW w:w="2202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03E7CF8C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生产放射性同位素的加速器（不含制备PET用放射性药物的加速器）</w:t>
                        </w:r>
                      </w:p>
                    </w:tc>
                  </w:tr>
                  <w:tr w14:paraId="1E448E91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  <w:jc w:val="center"/>
                    </w:trPr>
                    <w:tc>
                      <w:tcPr>
                        <w:tcW w:w="703" w:type="pct"/>
                        <w:vMerge w:val="continue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 w14:paraId="2940E2F3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2095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6ADE3C7D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医用加速器</w:t>
                        </w:r>
                      </w:p>
                    </w:tc>
                    <w:tc>
                      <w:tcPr>
                        <w:tcW w:w="2202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55FED4BC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能量大于100兆电子伏的加速器</w:t>
                        </w:r>
                      </w:p>
                    </w:tc>
                  </w:tr>
                  <w:tr w14:paraId="3863DA39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70" w:hRule="atLeast"/>
                      <w:jc w:val="center"/>
                    </w:trPr>
                    <w:tc>
                      <w:tcPr>
                        <w:tcW w:w="703" w:type="pct"/>
                        <w:vMerge w:val="restart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3CC1F813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Ⅱ类射线装置</w:t>
                        </w:r>
                      </w:p>
                    </w:tc>
                    <w:tc>
                      <w:tcPr>
                        <w:tcW w:w="2095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0CEC303F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放射治疗用X射线、电子束加速器</w:t>
                        </w:r>
                      </w:p>
                    </w:tc>
                    <w:tc>
                      <w:tcPr>
                        <w:tcW w:w="2202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20969F2B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工业探伤加速器</w:t>
                        </w:r>
                      </w:p>
                    </w:tc>
                  </w:tr>
                  <w:tr w14:paraId="3A96FC6A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  <w:jc w:val="center"/>
                    </w:trPr>
                    <w:tc>
                      <w:tcPr>
                        <w:tcW w:w="703" w:type="pct"/>
                        <w:vMerge w:val="continue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 w14:paraId="2ADCA24A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2095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17C80672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重离子治疗加速器</w:t>
                        </w:r>
                      </w:p>
                    </w:tc>
                    <w:tc>
                      <w:tcPr>
                        <w:tcW w:w="2202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1C090D0F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安全检查用加速器</w:t>
                        </w:r>
                      </w:p>
                    </w:tc>
                  </w:tr>
                  <w:tr w14:paraId="1C077F48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  <w:jc w:val="center"/>
                    </w:trPr>
                    <w:tc>
                      <w:tcPr>
                        <w:tcW w:w="703" w:type="pct"/>
                        <w:vMerge w:val="continue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 w14:paraId="7C5044B4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2095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35848C61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质子治疗装置</w:t>
                        </w:r>
                      </w:p>
                    </w:tc>
                    <w:tc>
                      <w:tcPr>
                        <w:tcW w:w="2202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6B58A570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辐照装置用加速器</w:t>
                        </w:r>
                      </w:p>
                    </w:tc>
                  </w:tr>
                  <w:tr w14:paraId="4EFF3BFE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55" w:hRule="atLeast"/>
                      <w:jc w:val="center"/>
                    </w:trPr>
                    <w:tc>
                      <w:tcPr>
                        <w:tcW w:w="703" w:type="pct"/>
                        <w:vMerge w:val="continue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 w14:paraId="4E44CD2A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2095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61889BBB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制备正电子发射计算机断层显像装置（PET）用放射性药物的加速器</w:t>
                        </w:r>
                      </w:p>
                    </w:tc>
                    <w:tc>
                      <w:tcPr>
                        <w:tcW w:w="2202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3A06EE00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其它非医用加速器</w:t>
                        </w:r>
                      </w:p>
                    </w:tc>
                  </w:tr>
                  <w:tr w14:paraId="02B08373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  <w:jc w:val="center"/>
                    </w:trPr>
                    <w:tc>
                      <w:tcPr>
                        <w:tcW w:w="703" w:type="pct"/>
                        <w:vMerge w:val="continue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 w14:paraId="1B100776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2095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0D057B32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其他医用加速器</w:t>
                        </w:r>
                      </w:p>
                    </w:tc>
                    <w:tc>
                      <w:tcPr>
                        <w:tcW w:w="2202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7D643D4D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中子发生器</w:t>
                        </w:r>
                      </w:p>
                    </w:tc>
                  </w:tr>
                  <w:tr w14:paraId="7A7D1BF6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  <w:jc w:val="center"/>
                    </w:trPr>
                    <w:tc>
                      <w:tcPr>
                        <w:tcW w:w="703" w:type="pct"/>
                        <w:vMerge w:val="continue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 w14:paraId="60EE8BB8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2095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5B642D4D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X射线深部治疗机</w:t>
                        </w:r>
                      </w:p>
                    </w:tc>
                    <w:tc>
                      <w:tcPr>
                        <w:tcW w:w="2202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126661EB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工业用X射线CT机</w:t>
                        </w:r>
                      </w:p>
                    </w:tc>
                  </w:tr>
                  <w:tr w14:paraId="2001E5A5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  <w:jc w:val="center"/>
                    </w:trPr>
                    <w:tc>
                      <w:tcPr>
                        <w:tcW w:w="703" w:type="pct"/>
                        <w:vMerge w:val="continue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 w14:paraId="1539C664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2095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35D7F696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数字减影血管造影装置</w:t>
                        </w:r>
                      </w:p>
                    </w:tc>
                    <w:tc>
                      <w:tcPr>
                        <w:tcW w:w="2202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40F38BD9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X射线探伤机</w:t>
                        </w:r>
                      </w:p>
                    </w:tc>
                  </w:tr>
                  <w:tr w14:paraId="69D93D71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  <w:jc w:val="center"/>
                    </w:trPr>
                    <w:tc>
                      <w:tcPr>
                        <w:tcW w:w="703" w:type="pct"/>
                        <w:vMerge w:val="restart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5DD67991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Ⅲ类射线装置</w:t>
                        </w:r>
                      </w:p>
                    </w:tc>
                    <w:tc>
                      <w:tcPr>
                        <w:tcW w:w="2095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42911F79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医用X射线CT机</w:t>
                        </w:r>
                      </w:p>
                    </w:tc>
                    <w:tc>
                      <w:tcPr>
                        <w:tcW w:w="2202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0D1B3B8A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X射线行李包检查装置</w:t>
                        </w:r>
                      </w:p>
                    </w:tc>
                  </w:tr>
                  <w:tr w14:paraId="3494D78E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  <w:jc w:val="center"/>
                    </w:trPr>
                    <w:tc>
                      <w:tcPr>
                        <w:tcW w:w="703" w:type="pct"/>
                        <w:vMerge w:val="continue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 w14:paraId="302941E4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2095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2C380BD0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放射诊断用普通X射线机</w:t>
                        </w:r>
                      </w:p>
                    </w:tc>
                    <w:tc>
                      <w:tcPr>
                        <w:tcW w:w="2202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035CF853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X射线衍射仪</w:t>
                        </w:r>
                      </w:p>
                    </w:tc>
                  </w:tr>
                  <w:tr w14:paraId="21CCB61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  <w:jc w:val="center"/>
                    </w:trPr>
                    <w:tc>
                      <w:tcPr>
                        <w:tcW w:w="703" w:type="pct"/>
                        <w:vMerge w:val="continue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 w14:paraId="76AAA7B6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2095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2651C293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X射线摄影装置</w:t>
                        </w:r>
                      </w:p>
                    </w:tc>
                    <w:tc>
                      <w:tcPr>
                        <w:tcW w:w="2202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754F12B0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兽医用X射线机</w:t>
                        </w:r>
                      </w:p>
                    </w:tc>
                  </w:tr>
                  <w:tr w14:paraId="241FCF26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  <w:jc w:val="center"/>
                    </w:trPr>
                    <w:tc>
                      <w:tcPr>
                        <w:tcW w:w="703" w:type="pct"/>
                        <w:vMerge w:val="continue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 w14:paraId="52138558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2095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27E003D6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牙科X射线机</w:t>
                        </w:r>
                      </w:p>
                    </w:tc>
                    <w:tc>
                      <w:tcPr>
                        <w:tcW w:w="2202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25DCE533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　</w:t>
                        </w:r>
                      </w:p>
                    </w:tc>
                  </w:tr>
                  <w:tr w14:paraId="0951829E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  <w:jc w:val="center"/>
                    </w:trPr>
                    <w:tc>
                      <w:tcPr>
                        <w:tcW w:w="703" w:type="pct"/>
                        <w:vMerge w:val="continue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 w14:paraId="08AE520D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2095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781FD919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乳腺X射线机</w:t>
                        </w:r>
                      </w:p>
                    </w:tc>
                    <w:tc>
                      <w:tcPr>
                        <w:tcW w:w="2202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21161058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　</w:t>
                        </w:r>
                      </w:p>
                    </w:tc>
                  </w:tr>
                  <w:tr w14:paraId="6EB29436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5" w:hRule="atLeast"/>
                      <w:jc w:val="center"/>
                    </w:trPr>
                    <w:tc>
                      <w:tcPr>
                        <w:tcW w:w="703" w:type="pct"/>
                        <w:vMerge w:val="continue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 w14:paraId="4ABA1F44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2095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7B5EC1F1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放射治疗模拟定位机</w:t>
                        </w:r>
                      </w:p>
                    </w:tc>
                    <w:tc>
                      <w:tcPr>
                        <w:tcW w:w="2202" w:type="pct"/>
                        <w:tcBorders>
                          <w:top w:val="nil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37C17563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　</w:t>
                        </w:r>
                      </w:p>
                    </w:tc>
                  </w:tr>
                  <w:tr w14:paraId="46AD6794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10" w:hRule="atLeast"/>
                      <w:jc w:val="center"/>
                    </w:trPr>
                    <w:tc>
                      <w:tcPr>
                        <w:tcW w:w="703" w:type="pct"/>
                        <w:vMerge w:val="continue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 w14:paraId="69335791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4297" w:type="pct"/>
                        <w:gridSpan w:val="2"/>
                        <w:tcBorders>
                          <w:top w:val="single" w:color="auto" w:sz="4" w:space="0"/>
                          <w:left w:val="nil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 w14:paraId="6EE21382">
                        <w:pPr>
                          <w:widowControl/>
                          <w:adjustRightInd w:val="0"/>
                          <w:snapToGrid w:val="0"/>
                          <w:spacing w:line="360" w:lineRule="auto"/>
                          <w:jc w:val="left"/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kern w:val="0"/>
                            <w:szCs w:val="21"/>
                          </w:rPr>
                          <w:t>其它高于豁免水平的X射线机</w:t>
                        </w:r>
                      </w:p>
                    </w:tc>
                  </w:tr>
                </w:tbl>
                <w:p w14:paraId="00E5871E">
                  <w:pPr>
                    <w:widowControl/>
                    <w:adjustRightInd w:val="0"/>
                    <w:snapToGrid w:val="0"/>
                    <w:spacing w:line="360" w:lineRule="auto"/>
                    <w:jc w:val="left"/>
                    <w:rPr>
                      <w:rFonts w:hint="eastAsia" w:ascii="ˎ̥" w:hAnsi="ˎ̥" w:eastAsia="宋体" w:cs="宋体"/>
                      <w:color w:val="000000"/>
                      <w:kern w:val="0"/>
                      <w:sz w:val="23"/>
                      <w:szCs w:val="23"/>
                    </w:rPr>
                  </w:pPr>
                </w:p>
              </w:tc>
            </w:tr>
          </w:tbl>
          <w:p w14:paraId="50B3F12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469577B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070EB2E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2964ECE5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wMDIxOTM3MmY0ZjFjN2I5YjRjZDA2OWRiZWUyM2YifQ=="/>
  </w:docVars>
  <w:rsids>
    <w:rsidRoot w:val="00465579"/>
    <w:rsid w:val="003A1201"/>
    <w:rsid w:val="00465579"/>
    <w:rsid w:val="006A1102"/>
    <w:rsid w:val="008632C6"/>
    <w:rsid w:val="00D94A71"/>
    <w:rsid w:val="46CE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title"/>
    <w:basedOn w:val="6"/>
    <w:uiPriority w:val="0"/>
  </w:style>
  <w:style w:type="character" w:customStyle="1" w:styleId="9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1005</Words>
  <Characters>1024</Characters>
  <Lines>8</Lines>
  <Paragraphs>2</Paragraphs>
  <TotalTime>4</TotalTime>
  <ScaleCrop>false</ScaleCrop>
  <LinksUpToDate>false</LinksUpToDate>
  <CharactersWithSpaces>1092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2008-09-24T03:18:00Z</dcterms:created>
  <dc:creator>金文浩</dc:creator>
  <cp:lastModifiedBy>企业用户_242867537</cp:lastModifiedBy>
  <cp:lastPrinted>2011-12-21T02:38:00Z</cp:lastPrinted>
  <dcterms:modified xsi:type="dcterms:W3CDTF">2024-07-11T01:51:47Z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9879AC0D25784E708E4E46F4983F3BFF_12</vt:lpwstr>
  </property>
</Properties>
</file>